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A470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A4707" w:rsidRDefault="000633F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A4707" w:rsidRDefault="000633F5">
            <w:pPr>
              <w:spacing w:after="0" w:line="240" w:lineRule="auto"/>
            </w:pPr>
            <w:r>
              <w:t>17950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A4707" w:rsidRDefault="000633F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A4707" w:rsidRDefault="000633F5">
            <w:pPr>
              <w:spacing w:after="0" w:line="240" w:lineRule="auto"/>
            </w:pPr>
            <w:r>
              <w:t>MEDICINSKA ŠKOLA OSIJEK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A4707" w:rsidRDefault="000633F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A4707" w:rsidRDefault="000633F5">
            <w:pPr>
              <w:spacing w:after="0" w:line="240" w:lineRule="auto"/>
            </w:pPr>
            <w:r>
              <w:t>31</w:t>
            </w:r>
          </w:p>
        </w:tc>
      </w:tr>
    </w:tbl>
    <w:p w:rsidR="006A4707" w:rsidRDefault="000633F5">
      <w:r>
        <w:br/>
      </w:r>
    </w:p>
    <w:p w:rsidR="006A4707" w:rsidRDefault="000633F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A4707" w:rsidRDefault="000633F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A4707" w:rsidRDefault="000633F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2.841.995,37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2.989.481,06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2.772.440,02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3.328.393,28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6A47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338.912,22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21.417,02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22.494,06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6A47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21.417,02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22.494,06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105,0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6A47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6A47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361.406,28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Ukupni prihodi u razdoblju od 1.1 do 31.12.2025. godine iznose 2.989.481,06  € što je za 5,2% više u odnosu na isto razdoblje prethodne godine. Na takvo povećanje prihoda su najviše utjecali prihodi za plaće odnosno tekuće pomoći proračunskim korisnicima i</w:t>
      </w:r>
      <w:r>
        <w:t>z proračuna koji im nije nadležan, zatim Ostali nespomenuti prihodi, odnosno uplate učenika za test ručne spretnosti koje protekle godine nije bilo jer nismo upisivali smjer  Dentalni tehničar/ka, zbog povećanja cijene participacije učenika s 30,00 € na 60</w:t>
      </w:r>
      <w:r>
        <w:t xml:space="preserve">,00 € za program Dentalni tehničar/ka i 50,00 € za ostale obrazovne programe te zbog izdašnijeg financiranja </w:t>
      </w:r>
      <w:r>
        <w:lastRenderedPageBreak/>
        <w:t>od strane osnivača - Osječko-baranjske županije odnosno Prihoda iz nadležnog proračuna za financiranje rashoda poslovanja zbog povećanih rashoda ka</w:t>
      </w:r>
      <w:r>
        <w:t>o što su servisi opreme, zdravstveni pregledi zaposlenika te financiranja Centra izvrsnosti. Ukupni rashodi od 1.1 do 31.12.2025. godine iznose 3.328.393,28 € što je za 20,1% više u odnosu na isto razdoblje prethodne godine, a radi se općenito o povećanjim</w:t>
      </w:r>
      <w:r>
        <w:t>a troškova plaća, gore nabrojanih troškova (servisa opreme, odnosno investicijskog održavanja, zdravstvenog pregleda zaposlenika, troškova Centra izvrsnosti), te nabavci opreme (klima uređaji, medicinska oprema, učila, knjiga i licenci) u vrijednosti 22.49</w:t>
      </w:r>
      <w:r>
        <w:t>4,00 €.  Veliki manjak prihoda i primitaka koji se do ove godine nje javljao proizlazi iz novog načina knjiženja plaća, odnosno plaća za 12.mj. je u 2025. godini knjižena kao rashod, a prihod za istu se knjiži u 1.mj.2026 godine kod njezine isplate odnosno</w:t>
      </w:r>
      <w:r>
        <w:t xml:space="preserve"> dospijeća. Osim plaće također prema novim pravilima evidentiranja EU projekata, sredstva u iznosu od 70.996,00 € koja smo dobili za provedbu projekta ERASMUS 2025-1-HR01-KA122-VET-000338151 nisu knjižena kao prihod nego kao obveza za predujmove iz državno</w:t>
      </w:r>
      <w:r>
        <w:t>g proračuna, pa otuda manje prihoda od projekata u odnosu na protekle godine. Također za navedeni projekt u 2025. godini postoje evidentirani rashodi u iznosu  20.792,69 € koje također po novim pravilima za evidentiranje EU projekata nismo knjižili kao pri</w:t>
      </w:r>
      <w:r>
        <w:t>hod (dok se projekt ne opravda u 2026. godini) nego evidentirali samo kao priznavanje prihoda na kontu 996381006 Tekuće pomoći iz državnog proračuna temeljem prijenosa EU. </w:t>
      </w:r>
    </w:p>
    <w:p w:rsidR="006A4707" w:rsidRDefault="000633F5">
      <w:r>
        <w:br/>
      </w:r>
    </w:p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150,1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6323 evidentiran je iznos od 6.905,44 €, što je za 50,1% više nego u protekloj godini, a radi se o sredstvima za projekt EUROSCOLA - posjet učenika Europskom parlamentu.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133.329,99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17.816,00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13,4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Na računu 6381 evidentiran je iznos od 17.816,00 €, što je za 86,6% manje nego u prošloj godini. Radi se o isplati nakon opravdanog </w:t>
      </w:r>
      <w:proofErr w:type="spellStart"/>
      <w:r>
        <w:t>izvješšća</w:t>
      </w:r>
      <w:proofErr w:type="spellEnd"/>
      <w:r>
        <w:t xml:space="preserve"> za projekt ERASMUS 2024-1-HR01-KA122-VET-000239369. Škola i ove godine provodi projekt ERASMUS  2025-1-HR01-KA122-</w:t>
      </w:r>
      <w:r>
        <w:t>VET-000338151, no prema Uputi za računovodstveno evidentiranje sredstava Europske unije sredstva primljena za provođenje projekta sada ne evidentiramo kao prihod nego kao obvezu za EU predujam.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Veliko povećanje u odnosu na isto razdoblje protekle godine je zbog uprihođenih sredstava koje učenici plaćaju za test ručne spretnosti prilikom upisivanja za zanimanje Dentalni tehničar/ka te povišenja cijene participacije s 30,00 € na 50,00 € i 60,00 € p</w:t>
      </w:r>
      <w:r>
        <w:t>o učeniku.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228,6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Ukupni prihodi od prodaje roba i usluga su gotovo nepromijenjeni, no na kontu 6616 evidentirani iznos od 800,00 € je za 128,6 % veći u odnosu na prošlu godinu jer je školska zadruga bila aktivnija i prodala nešto više proizvoda, a također i korigirala cije</w:t>
      </w:r>
      <w:r>
        <w:t>ne proizvoda naviše.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nabavu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13.940,67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553,1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Na kontu 6712 Prihodi iz proračuna za financiranje rashoda za nabavu nefinancijske imovine je evidentiran iznos od =13.940,67 € što je za 453,1% više nego u prošloj </w:t>
      </w:r>
      <w:proofErr w:type="spellStart"/>
      <w:r>
        <w:t>godini,a</w:t>
      </w:r>
      <w:proofErr w:type="spellEnd"/>
      <w:r>
        <w:t xml:space="preserve"> radi se o prihodima Županije raspoloživim za financiranje rashoda za nabavu klima </w:t>
      </w:r>
      <w:r>
        <w:t>uređaja, parkirne rampe, osnovnih sredstava i licenci za Centar izvrsnosti, knjiga za školsku lektiru, te financiranje sigurnosnog uređaja na ulazna vrata škole.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2.083.036,10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2.465.660,32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3111 Plaće za redovan rad evidentiran je iznos od =2.465.660,32 € što je za 18,4% više u odnosu na prošlu godinu osim zbog povećanja osnovice i zbog razloga što u rashod sada ulazi i plaća za 12. mjesec koja se prije knjižila kao rashod budućih r</w:t>
      </w:r>
      <w:r>
        <w:t>azdoblja.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331.188,73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396.368,45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3132 Doprinosi za obvezno zdravstveno osiguranje evidentiran je iznos od =396.368,45 € što je 19,7% više u odnosu na prethodnu godinu također zbog rashoda koji ulaze u 12. mjesec.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56.774,49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32.946,25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3211 Službena putovanja evidentirano je rashoda u iznosu od =32.946,25 € što je za 42% manje u odnosu na prošlu godinu jer troškove realizacije putovanja na  </w:t>
      </w:r>
      <w:proofErr w:type="spellStart"/>
      <w:r>
        <w:t>Erasmus</w:t>
      </w:r>
      <w:proofErr w:type="spellEnd"/>
      <w:r>
        <w:t>+ projekte sad pravilno evidentiramo kao stručna usavršavanja zaposlenika.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20.889,25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52.158,93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249,7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Na računu 3213 Stručno usavršavanje zaposlenika evidentiran je iznos od =52.158,93 € što je za 149,7% više u odnosu na prošlu godinu zbog mobilnosti nastavnika u </w:t>
      </w:r>
      <w:proofErr w:type="spellStart"/>
      <w:r>
        <w:t>Erasmus</w:t>
      </w:r>
      <w:proofErr w:type="spellEnd"/>
      <w:r>
        <w:t xml:space="preserve"> + projektima.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31.064,94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36.510,14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3222 Materijal i sirovine  evidentiran je iznos od =36.510,14 € što je za 17,5% više u odnosu na prošlu godinu, jer postoji povećana potreba za nastavnim materijalom; vježbe za razna natjecanja i Centar izvrsnosti, i poskupljenje istog.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61,6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3224 Materijal i dijelovi za tekuće i investicijsko održavanje evidentiran je iznos od 2.656,67 € što je za 38,4% manje u odnosu na prošlu godinu iz razloga što smo sredstva morali preusmjeriti na druge potrebnije stavke, što ne znači da su potre</w:t>
      </w:r>
      <w:r>
        <w:t>be za ovom vrstom materijala bile u tekućoj godini manje nego u odnosu na prošlu.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33,1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Na računu 3225 Sitni inventar i </w:t>
      </w:r>
      <w:proofErr w:type="spellStart"/>
      <w:r>
        <w:t>autogume</w:t>
      </w:r>
      <w:proofErr w:type="spellEnd"/>
      <w:r>
        <w:t xml:space="preserve"> evidentiran je iznos od 895,37 € što je za 66,9% manje u odnosu na prošlu godinu iz razloga što se nije kupovalo toliko sitnog inventara za program Preventivni projekt iz 2024. god. pa se razina potrošnje za sitan i</w:t>
      </w:r>
      <w:r>
        <w:t xml:space="preserve">nventar </w:t>
      </w:r>
      <w:proofErr w:type="spellStart"/>
      <w:r>
        <w:t>vratia</w:t>
      </w:r>
      <w:proofErr w:type="spellEnd"/>
      <w:r>
        <w:t xml:space="preserve"> na razinu iz 2023. godine..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49,5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lastRenderedPageBreak/>
        <w:t>Na računu 3227 Službena, radna i zaštitna odjeća i obuća, evidentiran je iznos od 756,60 € što je manje za 50,5% u odnosu na prošlu godinu jer je bilo manje potreba za kupovinom radne odjeće i obuće dok će u 2026. taj iznos značajno porasti zbog potreba od</w:t>
      </w:r>
      <w:r>
        <w:t>jeće i obuće spremačicama, domaru, operativnim djelatnicima za sigurnost, nastavnicima tjelesnog i zdravstvenog odgoja itd.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6.796,03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68,2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Na računu 3231 Usluge telefona, pošte i prijevoza evidentiran je iznos od =4.636,87 € što je 31,8% manje u odnosu na prethodnu godinu jer također troškove prijevoza za provođenja </w:t>
      </w:r>
      <w:proofErr w:type="spellStart"/>
      <w:r>
        <w:t>Erasmus</w:t>
      </w:r>
      <w:proofErr w:type="spellEnd"/>
      <w:r>
        <w:t xml:space="preserve"> + projekata evidentiramo kao stručno usavršavanje zaposlenika te je m</w:t>
      </w:r>
      <w:r>
        <w:t xml:space="preserve">anje bilo usluga prijevoza opreme jer nismo bili domaćini na natjecanju </w:t>
      </w:r>
      <w:proofErr w:type="spellStart"/>
      <w:r>
        <w:t>Worldskills</w:t>
      </w:r>
      <w:proofErr w:type="spellEnd"/>
      <w:r>
        <w:t xml:space="preserve"> 2025.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14.555,33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25.390,20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174,4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3232 Usluge tekućeg i investicijskog održavanja utrošeno je =25.390,20 € što je više za 74,4% u odnosu na prošlu godinu, a radi se o tome da smo uz redovne servise i popravke opreme imali i tri veća troška a to su: servis mjernih uređaja , mikros</w:t>
      </w:r>
      <w:r>
        <w:t xml:space="preserve">kopa i vaga za laboratorij, projektora u učionicama, servis telefonske centrale, usluge izrade elaborata sigurnosti, popravak destilatora vode i popravak instalacija u </w:t>
      </w:r>
      <w:proofErr w:type="spellStart"/>
      <w:r>
        <w:t>šahti</w:t>
      </w:r>
      <w:proofErr w:type="spellEnd"/>
      <w:r>
        <w:t>, ugradnju parking rampe i zamjene klima uređaja.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27.358,29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52.032,62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190,2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Po računu 3237 Intelektualne i osobne usluge ukupno je utrošeno =52.032,62 € na isplatu ugovora o djelu - vanjskim suradnicima što je više za 90,2% u odnosu na prošlu godinu jer ima više angažiranih vanjskih suradnika te veći broj potrebnih nastavnih sati.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70.063,74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757,5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324 Naknade troškova osobama izvan radnog odnosa evidentiran je iznos od 70.063,74 € što je veliki skok u odnosu na prošlu godinu, a radi se o isplati potpora učenicima za mobilnost u sklopu projekta ERASMUS 2024-1-HR01-KA122-VET-000239369 te pot</w:t>
      </w:r>
      <w:r>
        <w:t>pora učenicima za mobilnost u sklopu projekta ERASMUS  2025-1-HR01-KA122-VET-000338151.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4.977,35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302,0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U okviru skupine računa 3299 Ostali nespomenuti rashodi poslovanja evidentiran je iznos od =4.977,35 € što je za 202% </w:t>
      </w:r>
      <w:proofErr w:type="spellStart"/>
      <w:r>
        <w:t>viže</w:t>
      </w:r>
      <w:proofErr w:type="spellEnd"/>
      <w:r>
        <w:t xml:space="preserve"> u odnosu na prošlu godinu, a sastoji se od konzultantskih usluga za projekt ERASMUS 2024-1-HR01-KA122-VET-000239369 i novi </w:t>
      </w:r>
      <w:proofErr w:type="spellStart"/>
      <w:r>
        <w:t>Erasmus</w:t>
      </w:r>
      <w:proofErr w:type="spellEnd"/>
      <w:r>
        <w:t>+ p</w:t>
      </w:r>
      <w:r>
        <w:t xml:space="preserve">rojekt </w:t>
      </w:r>
      <w:proofErr w:type="spellStart"/>
      <w:r>
        <w:t>Heal</w:t>
      </w:r>
      <w:proofErr w:type="spellEnd"/>
      <w:r>
        <w:t xml:space="preserve"> </w:t>
      </w:r>
      <w:proofErr w:type="spellStart"/>
      <w:r>
        <w:t>Skill</w:t>
      </w:r>
      <w:proofErr w:type="spellEnd"/>
      <w:r>
        <w:t>, uplate javnih davanja Ministarstvu financija, posmrtnog oglasa, ruža za ispraćaj maturanata, isplate učenici nagrade za izvrsnost, provjera vjerodostojnosti diploma novih zaposlenika te zadnje pristiglih režijskih računa za koje nismo im</w:t>
      </w:r>
      <w:r>
        <w:t>ali dovoljno sredstava za plaćanje na pripadajućim pozicijama.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3433 Zatezne kamate nema evidentiranog rashoda jer su tužbe za osnovicu okončane.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262.212,58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96 Obračunati prihodi poslovanja nenaplaćeni evidentiran je iznos od =262.212,58 €, a radi se zapravo o plaći za 12.mj.2025. god. koja ulazi u rashod za 12.mj., a naplata prihoda će se evidentirati na dan isplate odnosno 9.01.2026.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9661 Prihodi od prodaje proizvoda i robe i pruženih usluga - nenaplaćeni evidentiran je iznos od 180,00 €, a radi se o ispostavljenim računima za najam dvorane za 12 mjesec 2025. god. s rokom dospijeća u 2026. godini.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4221 Uredska oprema i namještaj evidentiran je iznos od =1.538,40 € što je za 64,8% manje u odnosu na isto razdoblje prethodne godine za koji je kupljena oprema za projekt Preventivni programi:  Ekran; zidni nosač, stroj za plastificiranje 2 kom,</w:t>
      </w:r>
      <w:r>
        <w:t xml:space="preserve"> multifunkcijski printer Canon 2 kom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723,0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4223 Oprema za održavanje i zaštitu, kupljena je perilica rublja, kolica za spremačicu te novi klima uređaji za tajništvo i za učionicu informatike.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18.425,72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22.175,72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je evidentiran iznos od =22.175,72 € što je za 20,4% više nego iznos od prošle godine odnosno razlika za nabavljene licence za Centar izvrsnosti.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18.425,72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22.175,72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Ispravak vrijednosti </w:t>
      </w:r>
      <w:proofErr w:type="spellStart"/>
      <w:r>
        <w:t>neproizvedene</w:t>
      </w:r>
      <w:proofErr w:type="spellEnd"/>
      <w:r>
        <w:t xml:space="preserve"> dugotrajne imovine iznosi =22.175,72 € jer se radi o ispravku vrijednosti licenci.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strojevi i oprema za </w:t>
            </w:r>
            <w:r>
              <w:rPr>
                <w:sz w:val="18"/>
              </w:rPr>
              <w:t>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7.050,80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8.550,80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0227 evidentiran je nabavljeni sustava kontrole prolaza na ulaznim vratima škole.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Ostala </w:t>
            </w:r>
            <w:r>
              <w:rPr>
                <w:sz w:val="18"/>
              </w:rPr>
              <w:t>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44,7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129 evidentiran je iznos od =831,24 € što je za 55,3% manje u odnosu na prošlu godinu zbog manje bolovanja preko HZZO-a u 2025. godini i više usklađivanja zatvorenih bolovanja s HZMO-om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241.239,89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proofErr w:type="spellStart"/>
      <w:r>
        <w:t>Naračunu</w:t>
      </w:r>
      <w:proofErr w:type="spellEnd"/>
      <w:r>
        <w:t xml:space="preserve"> 1636 Potraživanja za pomoći proračunskim korisnicima iz proračuna koji im nije nadležan evidentiran je iznos od 241.239,89 € a radi se o potraživanju sredstava za plaće za 12.mj.2025.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</w:t>
            </w:r>
            <w:r>
              <w:rPr>
                <w:b/>
                <w:sz w:val="18"/>
              </w:rPr>
              <w:t>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20.792,69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1638 Potraživanja za pomoći temeljem prijenosa EU sredstava evidentiran je iznos od 20.792,69 € a radi se o potraživanjima za rashode nastale u projektu ERASMUS  2025-1-HR01-KA122-VET-000338151.</w:t>
      </w:r>
      <w:r>
        <w:br/>
        <w:t> 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Na računu 166 Potraživanja za prihode od prodaje proizvoda i robe te pruženih usluga i za povrat po protestiranim jamstvima evidentiran je iznos od 180,00 €, a radi se o potraživanjima za dva računa za najam dvorane koja </w:t>
      </w:r>
      <w:proofErr w:type="spellStart"/>
      <w:r>
        <w:t>dospjevaju</w:t>
      </w:r>
      <w:proofErr w:type="spellEnd"/>
      <w:r>
        <w:t xml:space="preserve"> u 1.mj.2026. god.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117.109,25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70.943,19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Na računu 167 Potraživanja  proračunskih korisnika za sredstva uplaćena u nadležni proračun i za prihode od HZZO-a na temelju ugovornih obveza evidentiran je iznos od =70.943,19 € </w:t>
      </w:r>
      <w:r>
        <w:lastRenderedPageBreak/>
        <w:t xml:space="preserve">raspoloživih sredstava a radi se o sredstvima dobivenima za projekt ERASMUS </w:t>
      </w:r>
      <w:r>
        <w:t> 2025-1-HR01-KA122-VET-000338151 koja ćemo većim dijelom utrošiti u 2026. godini.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214.803,63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193 Kontinuirani rashodi budućih razdoblja nema evidentiranih rashoda za plaće iz 12.mj. koje dospijevaju u 1.mj. slijedeće godine, jer se po novom načinu knjiženja redovno knjiže na rashod za 12.mj.2025. god.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205.732,69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238.487,94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na računu 231 evidentiran je iznos od 238.487,94 € što je 15,9% više nego u prošloj godini također zbog povećanja plaće i povećanja broja zaposlenika.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7.999,38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46,2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 xml:space="preserve">Na računu 24 Obveze za nabavu nefinancijske imovine evidentiran je iznos od =3.693,75 € što su pristigli računi za osnovna sredstva (licence za VR naočale, klima uređaj za informatiku, ruka za </w:t>
      </w:r>
      <w:proofErr w:type="spellStart"/>
      <w:r>
        <w:t>ježbu</w:t>
      </w:r>
      <w:proofErr w:type="spellEnd"/>
      <w:r>
        <w:t xml:space="preserve"> </w:t>
      </w:r>
      <w:proofErr w:type="spellStart"/>
      <w:r>
        <w:t>venepunkcijeza</w:t>
      </w:r>
      <w:proofErr w:type="spellEnd"/>
      <w:r>
        <w:t xml:space="preserve"> Centar izvrsnosti) a kojima je dospijeće p</w:t>
      </w:r>
      <w:r>
        <w:t>laćanja u 2026. godini.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110.616,89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-250.789,39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-226,7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lastRenderedPageBreak/>
        <w:t>Na računu 922 evidentiran je za razliku od prethodnih godina manjak u iznosu od 250.789,39 €, a radi se zapravo o metodološkom manjku zbog novih načina evidentiranja plaća i projekata EU.</w:t>
      </w:r>
    </w:p>
    <w:p w:rsidR="000633F5" w:rsidRDefault="000633F5"/>
    <w:tbl>
      <w:tblPr>
        <w:tblStyle w:val="Reetkatablice"/>
        <w:tblW w:w="9898" w:type="dxa"/>
        <w:tblLook w:val="04A0" w:firstRow="1" w:lastRow="0" w:firstColumn="1" w:lastColumn="0" w:noHBand="0" w:noVBand="1"/>
      </w:tblPr>
      <w:tblGrid>
        <w:gridCol w:w="805"/>
        <w:gridCol w:w="1749"/>
        <w:gridCol w:w="1083"/>
        <w:gridCol w:w="999"/>
        <w:gridCol w:w="1383"/>
        <w:gridCol w:w="850"/>
        <w:gridCol w:w="1005"/>
        <w:gridCol w:w="827"/>
        <w:gridCol w:w="1197"/>
      </w:tblGrid>
      <w:tr w:rsidR="000633F5" w:rsidRPr="000633F5" w:rsidTr="000633F5">
        <w:tc>
          <w:tcPr>
            <w:tcW w:w="9898" w:type="dxa"/>
            <w:gridSpan w:val="9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Cs w:val="24"/>
              </w:rPr>
            </w:pPr>
            <w:r w:rsidRPr="000633F5">
              <w:rPr>
                <w:szCs w:val="24"/>
              </w:rPr>
              <w:t>Popis ugovornih odnosa</w:t>
            </w:r>
          </w:p>
        </w:tc>
      </w:tr>
      <w:tr w:rsidR="000633F5" w:rsidRPr="000633F5" w:rsidTr="000633F5">
        <w:tc>
          <w:tcPr>
            <w:tcW w:w="805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Red.br.</w:t>
            </w:r>
          </w:p>
        </w:tc>
        <w:tc>
          <w:tcPr>
            <w:tcW w:w="1749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Datum izdavanja/primanja</w:t>
            </w:r>
          </w:p>
        </w:tc>
        <w:tc>
          <w:tcPr>
            <w:tcW w:w="1083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Instrument osiguranja</w:t>
            </w:r>
          </w:p>
        </w:tc>
        <w:tc>
          <w:tcPr>
            <w:tcW w:w="999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Iznosi dani/</w:t>
            </w:r>
            <w:proofErr w:type="spellStart"/>
            <w:r w:rsidRPr="000633F5">
              <w:rPr>
                <w:sz w:val="20"/>
              </w:rPr>
              <w:t>prim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0633F5">
              <w:rPr>
                <w:sz w:val="20"/>
              </w:rPr>
              <w:t>ljeni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Primatelj/</w:t>
            </w:r>
            <w:proofErr w:type="spellStart"/>
            <w:r w:rsidRPr="000633F5">
              <w:rPr>
                <w:sz w:val="20"/>
              </w:rPr>
              <w:t>dava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0633F5">
              <w:rPr>
                <w:sz w:val="20"/>
              </w:rPr>
              <w:t>telj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proofErr w:type="spellStart"/>
            <w:r w:rsidRPr="000633F5">
              <w:rPr>
                <w:sz w:val="20"/>
              </w:rPr>
              <w:t>Namjen</w:t>
            </w:r>
            <w:proofErr w:type="spellEnd"/>
            <w:r>
              <w:rPr>
                <w:sz w:val="20"/>
              </w:rPr>
              <w:t xml:space="preserve"> </w:t>
            </w:r>
            <w:r w:rsidRPr="000633F5">
              <w:rPr>
                <w:sz w:val="20"/>
              </w:rPr>
              <w:t>a</w:t>
            </w:r>
          </w:p>
        </w:tc>
        <w:tc>
          <w:tcPr>
            <w:tcW w:w="1005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proofErr w:type="spellStart"/>
            <w:r w:rsidRPr="000633F5">
              <w:rPr>
                <w:sz w:val="20"/>
              </w:rPr>
              <w:t>Dokumen</w:t>
            </w:r>
            <w:proofErr w:type="spellEnd"/>
            <w:r>
              <w:rPr>
                <w:sz w:val="20"/>
              </w:rPr>
              <w:t xml:space="preserve"> </w:t>
            </w:r>
            <w:r w:rsidRPr="000633F5">
              <w:rPr>
                <w:sz w:val="20"/>
              </w:rPr>
              <w:t>t</w:t>
            </w:r>
          </w:p>
        </w:tc>
        <w:tc>
          <w:tcPr>
            <w:tcW w:w="827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Rok važenja</w:t>
            </w:r>
          </w:p>
        </w:tc>
        <w:tc>
          <w:tcPr>
            <w:tcW w:w="1197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proofErr w:type="spellStart"/>
            <w:r w:rsidRPr="000633F5">
              <w:rPr>
                <w:sz w:val="20"/>
              </w:rPr>
              <w:t>Napomen</w:t>
            </w:r>
            <w:proofErr w:type="spellEnd"/>
            <w:r>
              <w:rPr>
                <w:sz w:val="20"/>
              </w:rPr>
              <w:t xml:space="preserve">   </w:t>
            </w:r>
            <w:bookmarkStart w:id="0" w:name="_GoBack"/>
            <w:bookmarkEnd w:id="0"/>
            <w:r w:rsidRPr="000633F5">
              <w:rPr>
                <w:sz w:val="20"/>
              </w:rPr>
              <w:t>a</w:t>
            </w:r>
          </w:p>
        </w:tc>
      </w:tr>
      <w:tr w:rsidR="000633F5" w:rsidRPr="000633F5" w:rsidTr="000633F5">
        <w:tc>
          <w:tcPr>
            <w:tcW w:w="805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999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</w:tr>
      <w:tr w:rsidR="000633F5" w:rsidRPr="000633F5" w:rsidTr="000633F5">
        <w:tc>
          <w:tcPr>
            <w:tcW w:w="9898" w:type="dxa"/>
            <w:gridSpan w:val="9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- nema ugovornih obveza koji bi postali obveza ili imovina</w:t>
            </w:r>
          </w:p>
        </w:tc>
      </w:tr>
    </w:tbl>
    <w:p w:rsidR="000633F5" w:rsidRPr="000633F5" w:rsidRDefault="000633F5" w:rsidP="000633F5">
      <w:pPr>
        <w:spacing w:after="0" w:line="240" w:lineRule="auto"/>
        <w:jc w:val="both"/>
        <w:rPr>
          <w:rFonts w:ascii="Garamond" w:hAnsi="Garamond"/>
          <w:b/>
          <w:szCs w:val="24"/>
        </w:rPr>
      </w:pPr>
    </w:p>
    <w:p w:rsidR="000633F5" w:rsidRPr="000633F5" w:rsidRDefault="000633F5" w:rsidP="000633F5">
      <w:pPr>
        <w:spacing w:after="0" w:line="240" w:lineRule="auto"/>
        <w:jc w:val="both"/>
        <w:rPr>
          <w:rFonts w:ascii="Garamond" w:hAnsi="Garamond"/>
          <w:b/>
          <w:szCs w:val="24"/>
        </w:rPr>
      </w:pPr>
    </w:p>
    <w:tbl>
      <w:tblPr>
        <w:tblStyle w:val="Reetkatablice1"/>
        <w:tblW w:w="9854" w:type="dxa"/>
        <w:tblLook w:val="04A0" w:firstRow="1" w:lastRow="0" w:firstColumn="1" w:lastColumn="0" w:noHBand="0" w:noVBand="1"/>
      </w:tblPr>
      <w:tblGrid>
        <w:gridCol w:w="622"/>
        <w:gridCol w:w="1150"/>
        <w:gridCol w:w="1238"/>
        <w:gridCol w:w="1072"/>
        <w:gridCol w:w="1070"/>
        <w:gridCol w:w="1205"/>
        <w:gridCol w:w="1472"/>
        <w:gridCol w:w="936"/>
        <w:gridCol w:w="1089"/>
      </w:tblGrid>
      <w:tr w:rsidR="000633F5" w:rsidRPr="000633F5" w:rsidTr="00B5556A">
        <w:tc>
          <w:tcPr>
            <w:tcW w:w="9854" w:type="dxa"/>
            <w:gridSpan w:val="9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Cs w:val="24"/>
              </w:rPr>
            </w:pPr>
            <w:r w:rsidRPr="000633F5">
              <w:rPr>
                <w:szCs w:val="24"/>
              </w:rPr>
              <w:t>Popis sudskih sporova u tijeku</w:t>
            </w:r>
          </w:p>
        </w:tc>
      </w:tr>
      <w:tr w:rsidR="000633F5" w:rsidRPr="000633F5" w:rsidTr="00B5556A">
        <w:tc>
          <w:tcPr>
            <w:tcW w:w="622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Red. br.</w:t>
            </w:r>
          </w:p>
        </w:tc>
        <w:tc>
          <w:tcPr>
            <w:tcW w:w="1150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Tuženik</w:t>
            </w:r>
          </w:p>
        </w:tc>
        <w:tc>
          <w:tcPr>
            <w:tcW w:w="1238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Tužitelj</w:t>
            </w:r>
          </w:p>
        </w:tc>
        <w:tc>
          <w:tcPr>
            <w:tcW w:w="1072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Sažeti opis prirode spora</w:t>
            </w:r>
          </w:p>
        </w:tc>
        <w:tc>
          <w:tcPr>
            <w:tcW w:w="1070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Iznos glavnice</w:t>
            </w:r>
          </w:p>
        </w:tc>
        <w:tc>
          <w:tcPr>
            <w:tcW w:w="1205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Procjena financijskog učinka</w:t>
            </w:r>
          </w:p>
        </w:tc>
        <w:tc>
          <w:tcPr>
            <w:tcW w:w="1472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proofErr w:type="spellStart"/>
            <w:r w:rsidRPr="000633F5">
              <w:rPr>
                <w:sz w:val="20"/>
              </w:rPr>
              <w:t>Procijnjeno</w:t>
            </w:r>
            <w:proofErr w:type="spellEnd"/>
            <w:r w:rsidRPr="000633F5">
              <w:rPr>
                <w:sz w:val="20"/>
              </w:rPr>
              <w:t xml:space="preserve"> vrijeme odljeva/priljeva sredstava</w:t>
            </w:r>
          </w:p>
        </w:tc>
        <w:tc>
          <w:tcPr>
            <w:tcW w:w="936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Početak sudskog spora</w:t>
            </w:r>
          </w:p>
        </w:tc>
        <w:tc>
          <w:tcPr>
            <w:tcW w:w="1089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Napomena</w:t>
            </w:r>
          </w:p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</w:tr>
      <w:tr w:rsidR="000633F5" w:rsidRPr="000633F5" w:rsidTr="00B5556A">
        <w:tc>
          <w:tcPr>
            <w:tcW w:w="622" w:type="dxa"/>
            <w:shd w:val="clear" w:color="auto" w:fill="auto"/>
          </w:tcPr>
          <w:p w:rsidR="000633F5" w:rsidRPr="000633F5" w:rsidRDefault="000633F5" w:rsidP="000633F5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0633F5" w:rsidRPr="000633F5" w:rsidRDefault="000633F5" w:rsidP="000633F5">
            <w:pPr>
              <w:rPr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0633F5" w:rsidRPr="000633F5" w:rsidRDefault="000633F5" w:rsidP="000633F5">
            <w:pPr>
              <w:rPr>
                <w:rFonts w:ascii="Garamond" w:hAnsi="Garamond"/>
                <w:sz w:val="22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633F5" w:rsidRPr="000633F5" w:rsidRDefault="000633F5" w:rsidP="000633F5">
            <w:pPr>
              <w:rPr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</w:p>
        </w:tc>
      </w:tr>
      <w:tr w:rsidR="000633F5" w:rsidRPr="000633F5" w:rsidTr="00B5556A">
        <w:tc>
          <w:tcPr>
            <w:tcW w:w="9854" w:type="dxa"/>
            <w:gridSpan w:val="9"/>
            <w:shd w:val="clear" w:color="auto" w:fill="auto"/>
          </w:tcPr>
          <w:p w:rsidR="000633F5" w:rsidRPr="000633F5" w:rsidRDefault="000633F5" w:rsidP="000633F5">
            <w:pPr>
              <w:jc w:val="both"/>
              <w:rPr>
                <w:sz w:val="20"/>
              </w:rPr>
            </w:pPr>
            <w:r w:rsidRPr="000633F5">
              <w:rPr>
                <w:sz w:val="20"/>
              </w:rPr>
              <w:t>- nema sudskih sporova u tijeku</w:t>
            </w:r>
          </w:p>
        </w:tc>
      </w:tr>
    </w:tbl>
    <w:p w:rsidR="000633F5" w:rsidRPr="000633F5" w:rsidRDefault="000633F5" w:rsidP="000633F5">
      <w:pPr>
        <w:spacing w:after="0" w:line="240" w:lineRule="auto"/>
        <w:jc w:val="both"/>
        <w:rPr>
          <w:rFonts w:ascii="Garamond" w:hAnsi="Garamond"/>
          <w:b/>
          <w:szCs w:val="24"/>
        </w:rPr>
      </w:pPr>
    </w:p>
    <w:p w:rsidR="000633F5" w:rsidRDefault="000633F5"/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2.793.857,04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3.350.887,34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Nešto veće odstupanje od 19,9% u odnosu na proteklu godinu u rashodima za srednjoškolsko obrazovanje je uglavnom zbog povećanja broja zaposlenih, povećanja plaća, povećanja materijalnih rashoda zbog rasta cijena te zbog troškova stručnog usavršavanja zapos</w:t>
      </w:r>
      <w:r>
        <w:t xml:space="preserve">lenika u </w:t>
      </w:r>
      <w:proofErr w:type="spellStart"/>
      <w:r>
        <w:t>Erasmus</w:t>
      </w:r>
      <w:proofErr w:type="spellEnd"/>
      <w:r>
        <w:t xml:space="preserve"> + projektima.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lastRenderedPageBreak/>
        <w:t>U 2025. godini nije bilo ni povećanja ni smanjena obujma imovine jer nismo dobili donaciju neke imovine, a nismo ni otpisivali imovinu prije njezine potpune amortizacije odnosno rashodovali.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6A47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322.563,80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Ukupno stanje obveza na kraju izvještajnog razdoblja iznosi =</w:t>
      </w:r>
      <w:r>
        <w:rPr>
          <w:b/>
        </w:rPr>
        <w:t>322.563,80</w:t>
      </w:r>
      <w:r>
        <w:t xml:space="preserve"> €, a čine ih nedospjele obveze za rashode poslovanja u iznosu =</w:t>
      </w:r>
      <w:r>
        <w:rPr>
          <w:b/>
        </w:rPr>
        <w:t>247.601,67</w:t>
      </w:r>
      <w:r>
        <w:t xml:space="preserve"> € (obveze za zaposlene iznose =</w:t>
      </w:r>
      <w:r>
        <w:rPr>
          <w:b/>
        </w:rPr>
        <w:t>238.487,94</w:t>
      </w:r>
      <w:r>
        <w:t xml:space="preserve"> € (plaća bruto II za 12.mj.2025.god, bolovanja do 42 dana za redovan rad i bolovanja iznad 42 dana za redovan rad), obveze za materijalne r</w:t>
      </w:r>
      <w:r>
        <w:t>ashode =</w:t>
      </w:r>
      <w:r>
        <w:rPr>
          <w:b/>
        </w:rPr>
        <w:t>9.112,07</w:t>
      </w:r>
      <w:r>
        <w:t xml:space="preserve"> €  (uglavnom za režijske troškove, nabave promidžbenog  i nastavnog materijala ) koje dospijevaju u 1.mj.2026.god. te obveze za nabavu osnovnih sredstava u iznosu od =</w:t>
      </w:r>
      <w:r>
        <w:rPr>
          <w:b/>
        </w:rPr>
        <w:t>3.693,75</w:t>
      </w:r>
      <w:r>
        <w:t xml:space="preserve"> € (od čega su dospjele u iznosu od 2.625,41 €), obveza za </w:t>
      </w:r>
      <w:proofErr w:type="spellStart"/>
      <w:r>
        <w:t>dobij</w:t>
      </w:r>
      <w:r>
        <w:t>ena</w:t>
      </w:r>
      <w:proofErr w:type="spellEnd"/>
      <w:r>
        <w:t xml:space="preserve"> sredstava u iznosu od =</w:t>
      </w:r>
      <w:r>
        <w:rPr>
          <w:b/>
        </w:rPr>
        <w:t>70.996,00</w:t>
      </w:r>
      <w:r>
        <w:t xml:space="preserve"> € za projekt ERASMUS  2025-1-HR01-KA122-VET-000338151 te obveza za povrat u proračun </w:t>
      </w:r>
      <w:r>
        <w:rPr>
          <w:b/>
        </w:rPr>
        <w:t>272,38</w:t>
      </w:r>
      <w:r>
        <w:t xml:space="preserve"> € (</w:t>
      </w:r>
      <w:proofErr w:type="spellStart"/>
      <w:r>
        <w:t>usklada</w:t>
      </w:r>
      <w:proofErr w:type="spellEnd"/>
      <w:r>
        <w:t xml:space="preserve"> s HZMO za bolovanja). Do veće razlike u odnosu na prethodnu godinu (stanje obveza =223.154,05 €) je došlo upravo zbo</w:t>
      </w:r>
      <w:r>
        <w:t>g novog načina evidentiranja sredstva EU te povećanja plaća, inače struktura obveza nema znatnijih promjena.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A4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70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6A47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</w:t>
            </w:r>
            <w:r>
              <w:rPr>
                <w:sz w:val="18"/>
              </w:rPr>
              <w:t>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A4707" w:rsidRDefault="000633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A4707" w:rsidRDefault="006A4707">
      <w:pPr>
        <w:spacing w:after="0"/>
      </w:pPr>
    </w:p>
    <w:p w:rsidR="006A4707" w:rsidRDefault="000633F5">
      <w:r>
        <w:t>Stanje dospjelih obveza na kraju izvještajnog razdoblja iznosi 2.625,41 €, a radi se o neplaćenim računima po dospijeću tvrtke GP-Instalacije u iznosu od 2.593,75 € koji je zaprimljen dana 31.12.2025. god. kada mu je i rok dospijeća te Zavoda za stanovanje</w:t>
      </w:r>
      <w:r>
        <w:t xml:space="preserve"> u iznosu od 31,66 € koji je </w:t>
      </w:r>
      <w:proofErr w:type="spellStart"/>
      <w:r>
        <w:t>zaprilmjen</w:t>
      </w:r>
      <w:proofErr w:type="spellEnd"/>
      <w:r>
        <w:t xml:space="preserve"> 30.12.2025. god. iako mu je rok dospijeća bio 20.12.2025.god. Oba računa su podmirena 2.1.2026. god.  odnosno prvog radnog dana u 2026. godini.</w:t>
      </w:r>
    </w:p>
    <w:p w:rsidR="006A4707" w:rsidRDefault="006A4707"/>
    <w:p w:rsidR="006A4707" w:rsidRDefault="000633F5">
      <w:pPr>
        <w:keepNext/>
        <w:spacing w:line="240" w:lineRule="auto"/>
        <w:jc w:val="center"/>
      </w:pPr>
      <w:r>
        <w:rPr>
          <w:sz w:val="28"/>
        </w:rPr>
        <w:t>Bilješka 41.</w:t>
      </w:r>
    </w:p>
    <w:p w:rsidR="006A4707" w:rsidRDefault="000633F5">
      <w:pPr>
        <w:spacing w:line="240" w:lineRule="auto"/>
        <w:jc w:val="both"/>
      </w:pPr>
      <w:r>
        <w:rPr>
          <w:b/>
        </w:rPr>
        <w:t>EU izvještaj</w:t>
      </w:r>
    </w:p>
    <w:p w:rsidR="006A4707" w:rsidRDefault="000633F5">
      <w:r>
        <w:t>Ukupni prihodi iznose 29.692,66 €, a sastoje se od slijedećih prihoda prema kontima:</w:t>
      </w:r>
    </w:p>
    <w:p w:rsidR="006A4707" w:rsidRDefault="000633F5">
      <w:r>
        <w:lastRenderedPageBreak/>
        <w:t xml:space="preserve">-6323 Tekuće pomoći od </w:t>
      </w:r>
      <w:proofErr w:type="spellStart"/>
      <w:r>
        <w:t>od</w:t>
      </w:r>
      <w:proofErr w:type="spellEnd"/>
      <w:r>
        <w:t xml:space="preserve"> institucija i tijela EU evidentiran je iznos od </w:t>
      </w:r>
      <w:proofErr w:type="spellStart"/>
      <w:r>
        <w:t>od</w:t>
      </w:r>
      <w:proofErr w:type="spellEnd"/>
      <w:r>
        <w:t xml:space="preserve"> 6.905,44 €, a radi se o sredstvima iz projekta EUROSCOLA (HR - EURV0309A) </w:t>
      </w:r>
      <w:proofErr w:type="spellStart"/>
      <w:r>
        <w:t>dobijenima</w:t>
      </w:r>
      <w:proofErr w:type="spellEnd"/>
      <w:r>
        <w:t xml:space="preserve"> za posjet</w:t>
      </w:r>
      <w:r>
        <w:t xml:space="preserve"> učenika Europskom Parlamentu,</w:t>
      </w:r>
    </w:p>
    <w:p w:rsidR="006A4707" w:rsidRDefault="000633F5">
      <w:r>
        <w:t>-63811 Tekuće pomoći iz državnog proračuna temeljem prijenosa EU sredstava u iznosu od 17.816,00 € radi se o završnoj isplati sredstava nakon opravdanog projekta ERASMUS 2024-1-HR01-KA122-VET-000239369</w:t>
      </w:r>
    </w:p>
    <w:p w:rsidR="006A4707" w:rsidRDefault="000633F5">
      <w:r>
        <w:t>-6711 Prihodi iz nadlež</w:t>
      </w:r>
      <w:r>
        <w:t>nog proračuna za financiranje rashoda poslovanja u iznosu od 4.971,22 €, a radi se o sredstvima za financiranje rashoda projekta Shema školskog voća </w:t>
      </w:r>
    </w:p>
    <w:p w:rsidR="006A4707" w:rsidRDefault="000633F5">
      <w:r>
        <w:t>Ukupni rashodi iznose 76.064,49 €, a sastoje se od slijedećih rashoda prema kontima:</w:t>
      </w:r>
    </w:p>
    <w:p w:rsidR="006A4707" w:rsidRDefault="000633F5">
      <w:r>
        <w:t>-3211 Službena putova</w:t>
      </w:r>
      <w:r>
        <w:t>nja u iznosu od 3.448,98 € gdje se radi o troškovima putovanja po projektu ERASMUS 2022-1-SIO1-KA220-SCH-000086772 BE-WELLL</w:t>
      </w:r>
    </w:p>
    <w:p w:rsidR="006A4707" w:rsidRDefault="000633F5">
      <w:r>
        <w:t>-3213 Stručno usavršavanje zaposlenika u iznosi od 51.252,93 € za mobilnosti nastavnika po projektima ERASMUS 2024-1-HR01-KA122-SCH-</w:t>
      </w:r>
      <w:r>
        <w:t>000222938, ERASMUS 2024-1-HR01-KA122-VET-000239369 i ERASMUS 2025-1-HR01-KA122-VET-000338151</w:t>
      </w:r>
    </w:p>
    <w:p w:rsidR="006A4707" w:rsidRDefault="000633F5">
      <w:r>
        <w:t>-3221 Uredski materijal u iznosu od 50,00 € za diseminaciju projekta RASMUS 2022-1-SIO1-KA220-SCH-000086772 BE-WELLL</w:t>
      </w:r>
    </w:p>
    <w:p w:rsidR="006A4707" w:rsidRDefault="000633F5">
      <w:r>
        <w:t>-3222 Materijal i sirovine u iznosu od 4.971,2</w:t>
      </w:r>
      <w:r>
        <w:t>2 € za namirnice odnosno voće iz projekta Shema školskog voća</w:t>
      </w:r>
    </w:p>
    <w:p w:rsidR="006A4707" w:rsidRDefault="000633F5">
      <w:r>
        <w:t>-324 Naknade troškova osobama izvan radnog odnosa u iznosu od 14.641,36 €, radi se o troškovima mobilnosti učenika po projektu ERASMUS 2025-1-HR01-KA122-VET-000338151</w:t>
      </w:r>
    </w:p>
    <w:p w:rsidR="006A4707" w:rsidRDefault="000633F5">
      <w:r>
        <w:t>-3299 Ostali nespomenuti rashodi poslovanja u iznosu od 1.700,00 € za konzultacijske usluge po projektu ERASMUS 2025-1-HR01-KA122-VET-000338151</w:t>
      </w:r>
    </w:p>
    <w:p w:rsidR="006A4707" w:rsidRDefault="000633F5">
      <w:r>
        <w:t>Na kontima 96381 Tekuće pomoći iz državnog proračuna temeljem prijenosa EU sredstava i 16381 Potraživanja za tek</w:t>
      </w:r>
      <w:r>
        <w:t xml:space="preserve">uće pomoći iz državnog proračuna temeljem EU sredstava evidentiran je iznos od 20.792,69 € što su zapravo troškovi mobilnosti učenika i nastavnika po projektu ERASMUS 2025-1-HR01-KA122-VET-000338151 te u skladu s novim uputama o evidentiranju EU projekata </w:t>
      </w:r>
      <w:r>
        <w:t>njih evidentiramo kao prihod poslovanja, ali prihod se knjiži tek po pravdanju projekta.</w:t>
      </w:r>
    </w:p>
    <w:p w:rsidR="006A4707" w:rsidRDefault="000633F5">
      <w:r>
        <w:t>Na kontu 27521 Obveze za EU predujmove dane iz državnog proračuna evidentiran je iznos od 70.996,00 € odnosno to je prvi dio isplate sredstava za projekt RASMUS 2025-1</w:t>
      </w:r>
      <w:r>
        <w:t>-HR01-KA122-VET-000338151 koji također u skladu s novim uputama ne evidentiramo kao prihod, od ukupnog iznosa ugovorenih sredstava za projekt u iznosu od 88.745,00  € koji je u skladu s uputama evidentiran vanbilančno na kontu 99171 Potraživanja po ugovori</w:t>
      </w:r>
      <w:r>
        <w:t>ma o dodijeljenim bespovratnim sredstvima EU fondova.</w:t>
      </w:r>
    </w:p>
    <w:p w:rsidR="006A4707" w:rsidRDefault="000633F5">
      <w:r>
        <w:t> </w:t>
      </w:r>
    </w:p>
    <w:p w:rsidR="006A4707" w:rsidRDefault="006A4707"/>
    <w:sectPr w:rsidR="006A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707"/>
    <w:rsid w:val="000633F5"/>
    <w:rsid w:val="006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A54D"/>
  <w15:docId w15:val="{8AEB0337-85C6-4C18-B461-D353B29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633F5"/>
    <w:pPr>
      <w:spacing w:after="0" w:line="240" w:lineRule="auto"/>
    </w:pPr>
    <w:rPr>
      <w:rFonts w:eastAsia="Calibri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0633F5"/>
    <w:pPr>
      <w:spacing w:after="0" w:line="240" w:lineRule="auto"/>
    </w:pPr>
    <w:rPr>
      <w:rFonts w:eastAsia="Calibri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3916</Words>
  <Characters>22322</Characters>
  <Application>Microsoft Office Word</Application>
  <DocSecurity>0</DocSecurity>
  <Lines>186</Lines>
  <Paragraphs>52</Paragraphs>
  <ScaleCrop>false</ScaleCrop>
  <Company/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Tomislav</cp:lastModifiedBy>
  <cp:revision>2</cp:revision>
  <dcterms:created xsi:type="dcterms:W3CDTF">2026-01-29T11:00:00Z</dcterms:created>
  <dcterms:modified xsi:type="dcterms:W3CDTF">2026-01-29T11:05:00Z</dcterms:modified>
</cp:coreProperties>
</file>